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25" w:rsidRPr="006B5827" w:rsidRDefault="00824DA6" w:rsidP="00C64916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824DA6">
        <w:rPr>
          <w:rFonts w:ascii="Times New Roman" w:hAnsi="Times New Roman" w:cs="Times New Roman"/>
          <w:b/>
          <w:i/>
          <w:sz w:val="28"/>
          <w:szCs w:val="24"/>
        </w:rPr>
        <w:t xml:space="preserve">Критерии квалификации участников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 xml:space="preserve">процедуры реализации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</w:r>
      <w:r w:rsidR="00DF4E8F">
        <w:rPr>
          <w:rFonts w:ascii="Times New Roman" w:hAnsi="Times New Roman" w:cs="Times New Roman"/>
          <w:b/>
          <w:i/>
          <w:sz w:val="28"/>
          <w:szCs w:val="24"/>
        </w:rPr>
        <w:t>№</w:t>
      </w:r>
      <w:r w:rsidR="000E7C8A">
        <w:rPr>
          <w:rFonts w:ascii="Times New Roman" w:hAnsi="Times New Roman" w:cs="Times New Roman"/>
          <w:b/>
          <w:i/>
          <w:sz w:val="28"/>
          <w:szCs w:val="24"/>
        </w:rPr>
        <w:t>0</w:t>
      </w:r>
      <w:r w:rsidR="00682CAB">
        <w:rPr>
          <w:rFonts w:ascii="Times New Roman" w:hAnsi="Times New Roman" w:cs="Times New Roman"/>
          <w:b/>
          <w:i/>
          <w:sz w:val="28"/>
          <w:szCs w:val="24"/>
        </w:rPr>
        <w:t>1</w:t>
      </w:r>
      <w:r w:rsidR="000E7C8A">
        <w:rPr>
          <w:rFonts w:ascii="Times New Roman" w:hAnsi="Times New Roman" w:cs="Times New Roman"/>
          <w:b/>
          <w:i/>
          <w:sz w:val="28"/>
          <w:szCs w:val="24"/>
        </w:rPr>
        <w:t>-25</w:t>
      </w:r>
      <w:r w:rsidR="003F4F8C">
        <w:rPr>
          <w:rFonts w:ascii="Times New Roman" w:hAnsi="Times New Roman" w:cs="Times New Roman"/>
          <w:b/>
          <w:i/>
          <w:sz w:val="28"/>
          <w:szCs w:val="24"/>
        </w:rPr>
        <w:t xml:space="preserve"> «</w:t>
      </w:r>
      <w:r w:rsidR="00682CAB" w:rsidRPr="008E7EDB">
        <w:rPr>
          <w:rFonts w:ascii="Times New Roman" w:hAnsi="Times New Roman" w:cs="Times New Roman"/>
          <w:b/>
          <w:i/>
          <w:sz w:val="28"/>
          <w:szCs w:val="24"/>
        </w:rPr>
        <w:t xml:space="preserve">Бочки </w:t>
      </w:r>
      <w:r w:rsidR="00C86C00" w:rsidRPr="008E7EDB">
        <w:rPr>
          <w:rFonts w:ascii="Times New Roman" w:hAnsi="Times New Roman" w:cs="Times New Roman"/>
          <w:b/>
          <w:i/>
          <w:sz w:val="28"/>
          <w:szCs w:val="24"/>
        </w:rPr>
        <w:t>пластмассовые б/у</w:t>
      </w:r>
      <w:r w:rsidR="003F4F8C">
        <w:rPr>
          <w:rFonts w:ascii="Times New Roman" w:hAnsi="Times New Roman" w:cs="Times New Roman"/>
          <w:b/>
          <w:i/>
          <w:sz w:val="28"/>
          <w:szCs w:val="24"/>
        </w:rPr>
        <w:t>»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  <w:t xml:space="preserve">для ПАО 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«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>Уфаоргсинтез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»</w:t>
      </w:r>
    </w:p>
    <w:p w:rsidR="0071226E" w:rsidRPr="00F85C04" w:rsidRDefault="00547877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1 Общие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4110"/>
        <w:gridCol w:w="4677"/>
        <w:gridCol w:w="5776"/>
      </w:tblGrid>
      <w:tr w:rsidR="006F2840" w:rsidRPr="006F2840" w:rsidTr="00824DA6">
        <w:trPr>
          <w:cantSplit/>
          <w:tblHeader/>
          <w:jc w:val="center"/>
        </w:trPr>
        <w:tc>
          <w:tcPr>
            <w:tcW w:w="84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467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5776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 w:val="restart"/>
            <w:vAlign w:val="center"/>
            <w:hideMark/>
          </w:tcPr>
          <w:p w:rsidR="006F2840" w:rsidRPr="006F2840" w:rsidRDefault="006F2840" w:rsidP="00310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609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vMerge w:val="restart"/>
            <w:vAlign w:val="center"/>
          </w:tcPr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>требования к контрагенту, предъявляемы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при проведении процедуры реализации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юридических лиц и индивидуальных предпринимателей: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Все документы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требования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ми к контрагенту, предъявляемыми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2 документации о реализации)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>или уведомление об успешном прохождении проверки в рамках должной осмотрительности или о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прохождении аккредитации в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Роснефть. 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185F21">
              <w:rPr>
                <w:rFonts w:ascii="Times New Roman" w:hAnsi="Times New Roman" w:cs="Times New Roman"/>
                <w:sz w:val="20"/>
                <w:szCs w:val="20"/>
              </w:rPr>
              <w:t>установленным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реализации)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хотя бы одной оценки "не соответствует" по установленным </w:t>
            </w:r>
            <w:r w:rsidR="00EE6344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/>
            <w:vAlign w:val="center"/>
          </w:tcPr>
          <w:p w:rsidR="006F2840" w:rsidRDefault="006F2840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физических лиц:</w:t>
            </w: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ИНН, согласие на 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аботку персональных данных.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предоставлены.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не предоставлены.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заготовки, хранения, переработки и реализации лома черных металлов, цветных металлов (при подаче заявок на лоты, содержащие лом черных и цветных металлов).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лицензии, выданная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на осуществление заготовки, хранения, переработки и реализации лома черных металлов, цветных металлов.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D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vAlign w:val="center"/>
          </w:tcPr>
          <w:p w:rsidR="006F2840" w:rsidRPr="006F2840" w:rsidRDefault="007A7D95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Наличие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 (при подаче заявок на лоты, содержащие отходы I-IV классов опасности).</w:t>
            </w:r>
          </w:p>
        </w:tc>
        <w:tc>
          <w:tcPr>
            <w:tcW w:w="4677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опасности, выданная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с указанием работ в составе лицензируемого вида деятельности: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сбор отходов соответствующего класса опасности;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обработка или утилизация отходов соответствующего класса опасности;</w:t>
            </w:r>
          </w:p>
          <w:p w:rsidR="006F2840" w:rsidRP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транспортирование отходов соо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тветствующего класса опасности.</w:t>
            </w:r>
          </w:p>
        </w:tc>
        <w:tc>
          <w:tcPr>
            <w:tcW w:w="5776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случае отсутствия в лицензии информации о выполняемых работах по одному из перечисленных видов деятельности, </w:t>
            </w:r>
            <w:r w:rsidR="009B4C1D"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Участник </w:t>
            </w: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>не соответствует критерию.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Существование организации не менее 1-го года.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Копия выписки из Единого государственного реестра юридических лиц (ЕГРЮЛ).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Подтверждение платежеспособности.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Копия письма от банка 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текущую дату, или копия письма от банка об открытой кредитной линии на срок действия договора.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или наличие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 отсутствие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негативного опыта работы с предприятиями ПАО "НК "Роснефть", а также предоставление информации и документов в рамках подтверждения каждого критерия квалификации.  </w:t>
            </w:r>
          </w:p>
        </w:tc>
        <w:tc>
          <w:tcPr>
            <w:tcW w:w="4677" w:type="dxa"/>
            <w:vAlign w:val="center"/>
          </w:tcPr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1 (одного) календарного года, предшествовавшего дате окончания срока подачи </w:t>
            </w:r>
            <w:proofErr w:type="gram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заявок  и</w:t>
            </w:r>
            <w:proofErr w:type="gram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проведения процедуры реализации случаев: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1. Судебных разбирательств в качестве ответчика с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</w:t>
            </w:r>
          </w:p>
        </w:tc>
        <w:tc>
          <w:tcPr>
            <w:tcW w:w="5776" w:type="dxa"/>
            <w:vAlign w:val="center"/>
          </w:tcPr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Факт отсутствия в течение 1 (одного) календарного года, предшествовавшего дате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окончания срока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квалификационным требованиям.</w:t>
            </w:r>
          </w:p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факт наличия в течение 1 (одного) календарного года, предшествовавшего дате окончания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требованиям."</w:t>
            </w:r>
          </w:p>
        </w:tc>
      </w:tr>
    </w:tbl>
    <w:p w:rsidR="006F2840" w:rsidRPr="00F85C04" w:rsidRDefault="003109AB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2 Специальные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217"/>
        <w:gridCol w:w="4713"/>
        <w:gridCol w:w="6633"/>
      </w:tblGrid>
      <w:tr w:rsidR="003109AB" w:rsidRPr="006F2840" w:rsidTr="008748D9">
        <w:trPr>
          <w:cantSplit/>
          <w:tblHeader/>
          <w:jc w:val="center"/>
        </w:trPr>
        <w:tc>
          <w:tcPr>
            <w:tcW w:w="561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311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438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8748D9" w:rsidRPr="006F2840" w:rsidTr="008748D9">
        <w:trPr>
          <w:cantSplit/>
          <w:jc w:val="center"/>
        </w:trPr>
        <w:tc>
          <w:tcPr>
            <w:tcW w:w="561" w:type="dxa"/>
            <w:vAlign w:val="center"/>
            <w:hideMark/>
          </w:tcPr>
          <w:p w:rsidR="008748D9" w:rsidRPr="006F2840" w:rsidRDefault="00DF609F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48D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8" w:type="dxa"/>
            <w:vAlign w:val="center"/>
          </w:tcPr>
          <w:p w:rsidR="008748D9" w:rsidRPr="006F2840" w:rsidRDefault="008748D9" w:rsidP="00682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с условиями и формой договора, размещенного в составе </w:t>
            </w:r>
            <w:bookmarkStart w:id="0" w:name="_GoBack"/>
            <w:bookmarkEnd w:id="0"/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документации по данному Лоту, а также сроками его подписания</w:t>
            </w:r>
          </w:p>
        </w:tc>
        <w:tc>
          <w:tcPr>
            <w:tcW w:w="311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процедуры реализации.</w:t>
            </w:r>
          </w:p>
          <w:p w:rsidR="008748D9" w:rsidRPr="000D7A88" w:rsidRDefault="008748D9" w:rsidP="008748D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i/>
                <w:sz w:val="20"/>
                <w:szCs w:val="20"/>
              </w:rPr>
              <w:t>либо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</w:p>
        </w:tc>
        <w:tc>
          <w:tcPr>
            <w:tcW w:w="438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//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и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B6C33" w:rsidRPr="006F2840" w:rsidTr="008748D9">
        <w:trPr>
          <w:cantSplit/>
          <w:jc w:val="center"/>
        </w:trPr>
        <w:tc>
          <w:tcPr>
            <w:tcW w:w="561" w:type="dxa"/>
            <w:vAlign w:val="center"/>
          </w:tcPr>
          <w:p w:rsidR="00DB6C33" w:rsidRDefault="00DB6C33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12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оферты</w:t>
            </w: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 xml:space="preserve"> по форме, предусмотренной документацией о процедуре реализации</w:t>
            </w:r>
          </w:p>
        </w:tc>
        <w:tc>
          <w:tcPr>
            <w:tcW w:w="311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Оферта Участника по форме, предусмотренной документацией о процедуре реализации</w:t>
            </w:r>
          </w:p>
        </w:tc>
        <w:tc>
          <w:tcPr>
            <w:tcW w:w="4388" w:type="dxa"/>
            <w:vAlign w:val="center"/>
          </w:tcPr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предусмотренной документацией о процедуре реализации</w:t>
            </w:r>
          </w:p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не предусмотренной документацией о процедуре реализации / Оферта не предоставлена</w:t>
            </w:r>
          </w:p>
        </w:tc>
      </w:tr>
    </w:tbl>
    <w:p w:rsidR="006C11AB" w:rsidRPr="006C11AB" w:rsidRDefault="006C11AB" w:rsidP="00A9390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C11AB" w:rsidRPr="006C11AB" w:rsidSect="00A93907">
      <w:pgSz w:w="16838" w:h="11906" w:orient="landscape"/>
      <w:pgMar w:top="851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6228"/>
    <w:multiLevelType w:val="hybridMultilevel"/>
    <w:tmpl w:val="A9FA5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683C"/>
    <w:multiLevelType w:val="hybridMultilevel"/>
    <w:tmpl w:val="27766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797C"/>
    <w:multiLevelType w:val="hybridMultilevel"/>
    <w:tmpl w:val="D076F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0578"/>
    <w:multiLevelType w:val="hybridMultilevel"/>
    <w:tmpl w:val="ECEEE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445A6BB1"/>
    <w:multiLevelType w:val="hybridMultilevel"/>
    <w:tmpl w:val="77B84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600871"/>
    <w:multiLevelType w:val="multilevel"/>
    <w:tmpl w:val="77B846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B1"/>
    <w:rsid w:val="000373BB"/>
    <w:rsid w:val="00055BA2"/>
    <w:rsid w:val="000D7A88"/>
    <w:rsid w:val="000E7C8A"/>
    <w:rsid w:val="000F28CB"/>
    <w:rsid w:val="000F4A38"/>
    <w:rsid w:val="000F7966"/>
    <w:rsid w:val="0015302C"/>
    <w:rsid w:val="00185F21"/>
    <w:rsid w:val="00197FE1"/>
    <w:rsid w:val="00216EEE"/>
    <w:rsid w:val="002509B1"/>
    <w:rsid w:val="00265917"/>
    <w:rsid w:val="002C0803"/>
    <w:rsid w:val="003109AB"/>
    <w:rsid w:val="00347669"/>
    <w:rsid w:val="003817A5"/>
    <w:rsid w:val="0039214D"/>
    <w:rsid w:val="003C5125"/>
    <w:rsid w:val="003F4F8C"/>
    <w:rsid w:val="00470269"/>
    <w:rsid w:val="004E349E"/>
    <w:rsid w:val="004E7489"/>
    <w:rsid w:val="00513973"/>
    <w:rsid w:val="00532E6C"/>
    <w:rsid w:val="00547877"/>
    <w:rsid w:val="00557825"/>
    <w:rsid w:val="00625EFD"/>
    <w:rsid w:val="00661F3A"/>
    <w:rsid w:val="00682CAB"/>
    <w:rsid w:val="006B5827"/>
    <w:rsid w:val="006B7864"/>
    <w:rsid w:val="006C11AB"/>
    <w:rsid w:val="006F2840"/>
    <w:rsid w:val="0071226E"/>
    <w:rsid w:val="00720034"/>
    <w:rsid w:val="00753ADC"/>
    <w:rsid w:val="007A6380"/>
    <w:rsid w:val="007A7D95"/>
    <w:rsid w:val="007B268B"/>
    <w:rsid w:val="007C1863"/>
    <w:rsid w:val="007E62F8"/>
    <w:rsid w:val="00824DA6"/>
    <w:rsid w:val="00867D37"/>
    <w:rsid w:val="008748D9"/>
    <w:rsid w:val="00893286"/>
    <w:rsid w:val="008C7365"/>
    <w:rsid w:val="008D785B"/>
    <w:rsid w:val="00937BF2"/>
    <w:rsid w:val="00952186"/>
    <w:rsid w:val="0099506A"/>
    <w:rsid w:val="009B4C1D"/>
    <w:rsid w:val="009B5151"/>
    <w:rsid w:val="00A41FAB"/>
    <w:rsid w:val="00A655AB"/>
    <w:rsid w:val="00A93907"/>
    <w:rsid w:val="00A93FD2"/>
    <w:rsid w:val="00B518B8"/>
    <w:rsid w:val="00B771EA"/>
    <w:rsid w:val="00BC45D2"/>
    <w:rsid w:val="00BE56DF"/>
    <w:rsid w:val="00C243A2"/>
    <w:rsid w:val="00C64916"/>
    <w:rsid w:val="00C66104"/>
    <w:rsid w:val="00C86C00"/>
    <w:rsid w:val="00D356DB"/>
    <w:rsid w:val="00D82F08"/>
    <w:rsid w:val="00D84B96"/>
    <w:rsid w:val="00DB6C33"/>
    <w:rsid w:val="00DC1720"/>
    <w:rsid w:val="00DF2D89"/>
    <w:rsid w:val="00DF4E8F"/>
    <w:rsid w:val="00DF609F"/>
    <w:rsid w:val="00E03659"/>
    <w:rsid w:val="00EE6344"/>
    <w:rsid w:val="00F8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E15AC"/>
  <w15:chartTrackingRefBased/>
  <w15:docId w15:val="{6305FD07-E074-4963-A8F7-7F802D5F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Мой Список,List Paragraph"/>
    <w:basedOn w:val="a"/>
    <w:link w:val="a5"/>
    <w:uiPriority w:val="34"/>
    <w:qFormat/>
    <w:rsid w:val="00D356DB"/>
    <w:pPr>
      <w:ind w:left="720"/>
      <w:contextualSpacing/>
    </w:pPr>
  </w:style>
  <w:style w:type="character" w:styleId="a6">
    <w:name w:val="Hyperlink"/>
    <w:basedOn w:val="a0"/>
    <w:uiPriority w:val="99"/>
    <w:rsid w:val="007C1863"/>
    <w:rPr>
      <w:rFonts w:cs="Times New Roman"/>
      <w:i/>
      <w:color w:val="0000FF"/>
      <w:u w:val="single"/>
    </w:rPr>
  </w:style>
  <w:style w:type="paragraph" w:customStyle="1" w:styleId="a7">
    <w:name w:val="Таблица текст"/>
    <w:basedOn w:val="a"/>
    <w:rsid w:val="007C1863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комментарий"/>
    <w:rsid w:val="007C1863"/>
    <w:rPr>
      <w:b/>
      <w:i/>
      <w:shd w:val="clear" w:color="auto" w:fill="FFFF99"/>
    </w:rPr>
  </w:style>
  <w:style w:type="table" w:customStyle="1" w:styleId="1">
    <w:name w:val="Сетка таблицы1"/>
    <w:basedOn w:val="a1"/>
    <w:next w:val="a3"/>
    <w:uiPriority w:val="59"/>
    <w:rsid w:val="008D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_IRAO Знак,Мой Список Знак,List Paragraph Знак"/>
    <w:basedOn w:val="a0"/>
    <w:link w:val="a4"/>
    <w:uiPriority w:val="34"/>
    <w:locked/>
    <w:rsid w:val="00D82F08"/>
  </w:style>
  <w:style w:type="paragraph" w:customStyle="1" w:styleId="S1">
    <w:name w:val="S_ЗаголовкиТаблицы1"/>
    <w:basedOn w:val="a"/>
    <w:rsid w:val="00547877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3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4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Кашуба Константин Александрович</dc:creator>
  <cp:keywords/>
  <dc:description/>
  <cp:lastModifiedBy>Кашуба Константин Александрович</cp:lastModifiedBy>
  <cp:revision>51</cp:revision>
  <cp:lastPrinted>2024-01-16T09:38:00Z</cp:lastPrinted>
  <dcterms:created xsi:type="dcterms:W3CDTF">2024-01-16T03:39:00Z</dcterms:created>
  <dcterms:modified xsi:type="dcterms:W3CDTF">2026-02-13T04:27:00Z</dcterms:modified>
</cp:coreProperties>
</file>